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Ивановская область</w:t>
      </w: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Тейковский муниципальный район</w:t>
      </w: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Новогоряновского сельского поселения</w:t>
      </w:r>
    </w:p>
    <w:p w:rsidR="00190316" w:rsidRPr="00FA5287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190316" w:rsidRPr="00FA5287" w:rsidRDefault="007E16A3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третьего</w:t>
      </w:r>
      <w:r w:rsidR="00190316" w:rsidRPr="00FA5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созыва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190316" w:rsidRPr="00190316" w:rsidRDefault="00190316" w:rsidP="0019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Default="00190316" w:rsidP="0019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5259"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30.04.2019</w:t>
      </w:r>
      <w:r w:rsidR="006F56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5259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9FC" w:rsidRDefault="003619FC" w:rsidP="0019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Новое Горяново</w:t>
      </w:r>
    </w:p>
    <w:p w:rsidR="003619FC" w:rsidRPr="00190316" w:rsidRDefault="003619FC" w:rsidP="0019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90316" w:rsidRPr="003619FC" w:rsidRDefault="00190316" w:rsidP="0036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главы</w:t>
      </w:r>
      <w:r w:rsidR="003619FC" w:rsidRPr="0036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Новогоряновского сельского поселения</w:t>
      </w:r>
    </w:p>
    <w:p w:rsidR="00190316" w:rsidRPr="003619FC" w:rsidRDefault="00190316" w:rsidP="0036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9C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1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«Об общих принципах местного самоуправления в Российской Федерации» от 06.10.2003 г. № 131-ФЗ, Уставом Новогоряновского сельского поселения, Совет Новогоряновского сельского поселения </w:t>
      </w: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Отчет главы Новогоряновского сельского поселения за 201</w:t>
      </w:r>
      <w:r w:rsidR="009C52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Рекомендовать администрации Новогоряновского сельского поселения продолжить работу по реализации мероприятий по оздоровлению социально – экономической ситуации в Новогоряновском сельском поселении, обратив особое внимание на социальную защищенность граждан и выполнение вопросов местного значения поселения.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Новогоряновского 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 </w:t>
      </w:r>
      <w:r w:rsidR="009E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9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Груздов</w:t>
      </w: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259" w:rsidRDefault="009C5259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259" w:rsidRDefault="009C5259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ГЛАВЫ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НОВОГОРЯНОВСКОГО СЕЛЬСКОГО ПОСЕЛЕНИЯ ТЕЙКОВСКОГО МУНИЦИПАЛЬНОГО РАЙОНА </w:t>
      </w:r>
      <w:proofErr w:type="gramStart"/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</w:t>
      </w:r>
      <w:proofErr w:type="gramEnd"/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О РЕЗУЛЬТАТАХ ДЕЯТЕЛЬНОСТИ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НОВОГОРЯНОВСКОГО 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 201</w:t>
      </w:r>
      <w:r w:rsidR="009C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9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190316" w:rsidRPr="00190316" w:rsidRDefault="00190316" w:rsidP="00190316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70" w:rsidRDefault="00AB1F70" w:rsidP="002A461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</w:t>
      </w:r>
    </w:p>
    <w:p w:rsidR="002A461B" w:rsidRDefault="002A461B" w:rsidP="002A46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присутствующие, уважаемые депутаты!</w:t>
      </w:r>
    </w:p>
    <w:p w:rsidR="002A461B" w:rsidRPr="002A461B" w:rsidRDefault="002A461B" w:rsidP="002A461B">
      <w:pPr>
        <w:pStyle w:val="a3"/>
        <w:ind w:firstLine="709"/>
        <w:jc w:val="center"/>
        <w:rPr>
          <w:szCs w:val="28"/>
        </w:rPr>
      </w:pPr>
      <w:r>
        <w:rPr>
          <w:szCs w:val="28"/>
        </w:rPr>
        <w:t xml:space="preserve">Разрешите мне выступить </w:t>
      </w:r>
      <w:r w:rsidRPr="002A461B">
        <w:rPr>
          <w:szCs w:val="28"/>
        </w:rPr>
        <w:t>с отчетным докладом о деятельности Новогоряновского сельского поселения.</w:t>
      </w:r>
    </w:p>
    <w:p w:rsidR="002A461B" w:rsidRDefault="002A461B" w:rsidP="002A461B">
      <w:pPr>
        <w:pStyle w:val="a3"/>
        <w:ind w:firstLine="709"/>
        <w:jc w:val="both"/>
        <w:rPr>
          <w:szCs w:val="28"/>
        </w:rPr>
      </w:pPr>
    </w:p>
    <w:p w:rsidR="002A461B" w:rsidRDefault="002A461B" w:rsidP="002A461B">
      <w:pPr>
        <w:pStyle w:val="a3"/>
        <w:ind w:firstLine="709"/>
        <w:jc w:val="both"/>
        <w:rPr>
          <w:b/>
          <w:szCs w:val="28"/>
        </w:rPr>
      </w:pPr>
      <w:r>
        <w:rPr>
          <w:szCs w:val="28"/>
        </w:rPr>
        <w:t xml:space="preserve">    Прошел еще один год напряженной совместной работы. Сегодня мы подводим итоги, и в своем выступлении я хотел бы остановиться на принципиальных вопросах развития Новогоряновского сельского поселения в прошедшем 2018 году.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1B" w:rsidRDefault="002A461B" w:rsidP="002A4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2A461B" w:rsidRDefault="002A461B" w:rsidP="002A46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2019 года численность населения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жителей трудоспособного возраста 864 чел, пенсионеров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A461B" w:rsidRDefault="002A461B" w:rsidP="002A46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родилось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механический прирост (-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Количество домохозяйств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762.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задач социально-экономического развития важная роль принадлежит бюджету. Бюджет нашего поселения относится к разряду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субвенции и дотации выделяются нам из бюджета района и области.</w:t>
      </w:r>
    </w:p>
    <w:p w:rsidR="002A461B" w:rsidRDefault="002A461B" w:rsidP="002A4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Новогоряновского сельского поселения на 2018 год по факту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 8 741,7 тыс. руб.;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собственные доходы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410,6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НДФЛ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82,3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составили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9 254,0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весомым статьям расходов можно отнести: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1 676,1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Общегосударственные расходы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7230,7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2A461B" w:rsidRDefault="002A461B" w:rsidP="002A461B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год нам выдался очень тяжелым. С 17 июня 2017года по 24 сентября 2018года счета администрации были арестованы по вине МУП ЖКХ «Новогоряновское коммунальное объединение»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аботникам администрации не выплачивалась заработная плата, до сих пор не можем погасить задолженность за коммунальные услуги. Спасибо огромное Правительству Ивановской области о выделении межбюджетных трансфертов на погашение данного долга, а также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администрации Тейковского муниципального района за то, что они оплачивали расходы за наше уличное освещение.</w:t>
      </w:r>
    </w:p>
    <w:p w:rsidR="002A461B" w:rsidRDefault="002A461B" w:rsidP="002A46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Местный бюджет Новогоряновского сельского поселения очень мал, денег не на что не хватает, в администрации создана комиссия по собираемости налогов, сборов и арендных платежей. Основной задачей комиссии является разъяснительная работа, подача информации. Гражданам явившимся на комиссию разъясняем, что налог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 доход, который в дальнейшем расходуется на благо нашего поселения. Не получая этих бюджетных средств, Новогоряновское сельское поселение не может полноценно формировать свой бюджет,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свои обязанности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 Новогоряновского  сельского поселения на 2019 год, а также на плановые 2020-21 год можно подробно изучить, ознакомившись с ним на официальном сайте администрации в сети «Интернет».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1B" w:rsidRDefault="002A461B" w:rsidP="002A4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Новогоряновская СОШ  посещают </w:t>
      </w:r>
      <w:r>
        <w:rPr>
          <w:rFonts w:ascii="Times New Roman" w:hAnsi="Times New Roman" w:cs="Times New Roman"/>
          <w:b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человек. Школа укомплектована специалистами, считается лучшей школой в районе.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ученики, вышедшие из нашей школы поступают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высшие учебные заведения.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1B" w:rsidRDefault="002A461B" w:rsidP="002A461B">
      <w:pPr>
        <w:tabs>
          <w:tab w:val="left" w:pos="37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Посещают наш 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стабильно держим планку по посещаемости. Огорчает, что в поселении снижается рождаемость, село уменьшается.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напомнить, что многодетным семьям на  оплату детского сада  выделяются субсидии, для этого необходимо только вовремя собрать пакет документов и обратиться в управление социальной защиты. Это очень большая помощь для сохранения семейного бюджета.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1B" w:rsidRDefault="002A461B" w:rsidP="002A4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</w:t>
      </w:r>
    </w:p>
    <w:p w:rsidR="0000083D" w:rsidRDefault="002A461B" w:rsidP="002A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Жителям нашего сельского поселения услуги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 1 специалист и 1 почтальон. Жители выписывают газеты и журналы.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3D" w:rsidRDefault="0000083D" w:rsidP="00000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3D"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00083D" w:rsidRPr="0000083D" w:rsidRDefault="0000083D" w:rsidP="0000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3D">
        <w:rPr>
          <w:rFonts w:ascii="Times New Roman" w:hAnsi="Times New Roman" w:cs="Times New Roman"/>
          <w:sz w:val="28"/>
          <w:szCs w:val="28"/>
        </w:rPr>
        <w:t>На территории поселения функционируют три магазина смешанного типа</w:t>
      </w:r>
      <w:r>
        <w:rPr>
          <w:rFonts w:ascii="Times New Roman" w:hAnsi="Times New Roman" w:cs="Times New Roman"/>
          <w:sz w:val="28"/>
          <w:szCs w:val="28"/>
        </w:rPr>
        <w:t xml:space="preserve">: ИП Серова Е.Г.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 магазинах есть практически все продукты питания и цены на некоторый товар дешевле, чем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ейково.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хватает промышленных товаров, ноя думаю, что это со временем исправится</w:t>
      </w:r>
    </w:p>
    <w:p w:rsidR="002A461B" w:rsidRPr="0000083D" w:rsidRDefault="002A461B" w:rsidP="00000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1B" w:rsidRDefault="002A461B" w:rsidP="002A461B">
      <w:pPr>
        <w:tabs>
          <w:tab w:val="left" w:pos="3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работает офис врача общей практики, в котором ведут прием населения врач терапевт Путил</w:t>
      </w:r>
      <w:r w:rsidR="00B6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 и  фельдшер Денисова Валентина Александровна. В офисе не хватает кадров, а именно медицинской сестры и еще бы хотелось, чтобы населению можно было бы где-то приобретать медикаменты, так как аптеки на территории поселения нет.</w:t>
      </w:r>
    </w:p>
    <w:p w:rsidR="002A461B" w:rsidRDefault="002A461B" w:rsidP="002A46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Социальные услуги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одиноким и престарелым жителям оказывает работник Управления социальной защиты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Исланкина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Людмила Валерьевна.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1B" w:rsidRDefault="002A461B" w:rsidP="002A461B">
      <w:pPr>
        <w:tabs>
          <w:tab w:val="left" w:pos="30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территории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Горяново функционирует библиотека, имеется открытый доступ к Интернету. В течение года проводились  обзоры книжных выставок, викторины, тематические и литературные  вечера. Заведует этим книжным домом Шиловская Елена Николаевна.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1B" w:rsidRDefault="002A461B" w:rsidP="002A461B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</w:t>
      </w:r>
    </w:p>
    <w:p w:rsidR="002A461B" w:rsidRDefault="002A461B" w:rsidP="002A461B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нашего поселения действует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Новогоряновского сельского поселения», директором которого является Ковригина Татьяна Витальевна. У нас много талантливых людей, хотелось бы  пожелать им удачных выступлений, развития на уровне не только района, но и области.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Проводятся различные мероприятия, это государственные и календарные праздники, традиционные мероприятия, мероприятия, приуроченные к памятным датам, мероприятия с детьми и подростками, также не забывают о сохранении национальной культуры, родного языка. Работники культуры совместно с учреждениями Поселения провели праздники День Победы, День пожилых людей.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мероприятий нам активно помогают наш депутатский корпус. Хотелось бы всем сказать  огромное спасибо за оказанную помощь.  Отдельно хочется поблагодарить сотрудников школы, учеников, молодежь села, а также персонал детского сада и их воспитанников за постоянную помощь в организации праздников.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участвуют в проведении мероприятий учащиеся Новогоряновской ДШИ. На высоком уровне находятся классы хореографии и изобразительного искусства, которые участвуют в различных конкурсах.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остаются не решенными проблемы: отдаленность Дома культуры от населенного пункта. Хочется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ДК находился поближе.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61B" w:rsidRDefault="002A461B" w:rsidP="002A46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Спортивная жизнь нашего поселения кипит.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Ведутся секционные занятия по волейболу, баскетболу, футболу. Наши команды участвуют во всех районных и межрайонных соревнованиях, и играют в составе районной команды</w:t>
      </w:r>
      <w:r w:rsidR="00B64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Парни и девушки охотно участвовали в соревнованиях, что бы померится силами с представителями других поселений.</w:t>
      </w:r>
      <w:r>
        <w:rPr>
          <w:rFonts w:ascii="Times New Roman" w:hAnsi="Times New Roman"/>
          <w:sz w:val="28"/>
          <w:szCs w:val="28"/>
        </w:rPr>
        <w:t xml:space="preserve"> Хотелось бы обратиться к нашей молодежи, давайте сплотимся и усилимся.</w:t>
      </w:r>
    </w:p>
    <w:p w:rsidR="002A461B" w:rsidRDefault="002A461B" w:rsidP="002A4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ВЕТЕРАНОВ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нашем поселении Совет ветеранов под руководством Гусевой Еленой Александровной ведет активную работу с одинокими пожилыми пенсионерами, помогает с оформлением документов, проводит совместно с МКУК «КДК Новогоряновского сельского поселения» различные мероприятия для людей пожилого возраста.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61B" w:rsidRDefault="002A461B" w:rsidP="002A46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ЖИЛИЩНО КОММУНАЛЬНОЕ ХОЗЯЙСТВО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sz w:val="28"/>
          <w:szCs w:val="28"/>
        </w:rPr>
        <w:t>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коммунальные услуги населению предоставляет МУП ЖКХ Тейковского района. Большая проблема в том, что население очень плохо платит за коммунальные услуги, уже неоднократно собирал</w:t>
      </w:r>
      <w:r w:rsidR="00B648C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комиссии по задолженности, но люди не хотят ничего понимать.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Вывоз мусора осуществляет Региональный фонд по вывозу ТКО. Контейнеры и бункера с мусором вывозятся строго по графику. Оплата производится по договорам. Охват населения,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заключивших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договоры на вывоз ТБО - 100%. </w:t>
      </w:r>
    </w:p>
    <w:p w:rsidR="002A461B" w:rsidRDefault="0000083D" w:rsidP="002A4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Весной в рамках экологического месячника, и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по мере необходимости проводились субботники по очистке территории поселения, придорожных полос. Самое активное участие в этих мероприятиях принимали работники бюджетной сферы, а особенно работники культуры. В стороне не остались и школьники. Хотелось, чтобы и все жители вовлеклись в этот процесс. Ведь если человека встречают по одежке, то заезжая в село смотрят на чистоту и ухоженность, а отсюда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соответствующие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нам отношение.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Проблема благоустройства - это не только финансы, но и человеческий фактор. Казалось, что может быть проще. Все мы жители одного сельского поселения, любим и хотим, чтобы в каждом населенном пункте было еще лучше и чище.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сожалению, у каждого свои подходы к решению этого вопроса. Кто-то борется за чистоту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вкладывая свой труд и средства, а кто-то живет с мыслью, что все им должны, а они не должны никому. Я надеюсь, что многие пересмотрят свое отношение к чужому труду, не будут стараться спрятать мусор в лесу, на задворках, между огородов и в 2019 году мы вместе сделаем наше поселение лучше и чище.</w:t>
      </w:r>
    </w:p>
    <w:p w:rsidR="002A461B" w:rsidRDefault="002A461B" w:rsidP="002A4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 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 поставлено много, и нам необходимо их выполнять.</w:t>
      </w:r>
    </w:p>
    <w:p w:rsidR="002A461B" w:rsidRDefault="002A461B" w:rsidP="002A4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Хочу выразить благодарность работникам Администрации Новогоряновского сельского поселения, которые в полном объеме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</w:t>
      </w:r>
    </w:p>
    <w:p w:rsidR="002A461B" w:rsidRDefault="002A461B" w:rsidP="002A4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 в заключении хотелось поблагодарить за улучшение качества жизни наших жителей, наших руководителей предприятий, организаций, депутатов, руководителей учреждений (школ, ФАП, клубов, дошкольных учреждений), индивидуальных предпринимателей за помощь населению и администрации поселения в работе. Чувствуется взаимосвязь Администрации поселения и всех предприятий и учреждений, расположенных на нашей территории, мне хочется, чтобы все живущие здесь понимали, что все зависит от нас самих.</w:t>
      </w:r>
    </w:p>
    <w:p w:rsidR="002A461B" w:rsidRDefault="002A461B" w:rsidP="002A4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Пусть каждый из нас сделает немного хорошего, внесет свой посильный вклад в развитие поселения и всем нам станет жить лучше и комфортнее. Хочу выразить слова благодарности всем вам за выбранную активную жизненную позицию, за взаимопонимание.</w:t>
      </w:r>
    </w:p>
    <w:p w:rsidR="002A461B" w:rsidRDefault="002A461B" w:rsidP="002A4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2A461B" w:rsidRDefault="002A461B" w:rsidP="002A46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Огромное Вам всем спасибо и спасибо за внимание! </w:t>
      </w:r>
    </w:p>
    <w:p w:rsidR="002A461B" w:rsidRDefault="002A461B" w:rsidP="002A4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8F" w:rsidRDefault="00BE378F" w:rsidP="00AB1F70">
      <w:pPr>
        <w:spacing w:after="0" w:line="240" w:lineRule="auto"/>
        <w:ind w:left="285"/>
      </w:pPr>
    </w:p>
    <w:sectPr w:rsidR="00BE378F" w:rsidSect="00734E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A9B"/>
    <w:multiLevelType w:val="multilevel"/>
    <w:tmpl w:val="2D9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A6C"/>
    <w:rsid w:val="0000083D"/>
    <w:rsid w:val="00044106"/>
    <w:rsid w:val="00050E49"/>
    <w:rsid w:val="00094600"/>
    <w:rsid w:val="00190316"/>
    <w:rsid w:val="001A1379"/>
    <w:rsid w:val="001F6266"/>
    <w:rsid w:val="002A461B"/>
    <w:rsid w:val="003619FC"/>
    <w:rsid w:val="003C7A5F"/>
    <w:rsid w:val="003E3A6C"/>
    <w:rsid w:val="00544AAF"/>
    <w:rsid w:val="006F56D9"/>
    <w:rsid w:val="00702F59"/>
    <w:rsid w:val="00734ED6"/>
    <w:rsid w:val="007A7884"/>
    <w:rsid w:val="007D5C86"/>
    <w:rsid w:val="007E16A3"/>
    <w:rsid w:val="007E2F0D"/>
    <w:rsid w:val="007F03A4"/>
    <w:rsid w:val="008606C2"/>
    <w:rsid w:val="009C3A83"/>
    <w:rsid w:val="009C5259"/>
    <w:rsid w:val="009E6450"/>
    <w:rsid w:val="00AA4D7B"/>
    <w:rsid w:val="00AB1F70"/>
    <w:rsid w:val="00AB6A94"/>
    <w:rsid w:val="00B648C7"/>
    <w:rsid w:val="00BE378F"/>
    <w:rsid w:val="00C8488E"/>
    <w:rsid w:val="00C9324E"/>
    <w:rsid w:val="00D124B4"/>
    <w:rsid w:val="00E97626"/>
    <w:rsid w:val="00EA6E99"/>
    <w:rsid w:val="00FA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26</cp:revision>
  <cp:lastPrinted>2019-05-14T10:11:00Z</cp:lastPrinted>
  <dcterms:created xsi:type="dcterms:W3CDTF">2016-04-08T06:11:00Z</dcterms:created>
  <dcterms:modified xsi:type="dcterms:W3CDTF">2019-05-14T10:11:00Z</dcterms:modified>
</cp:coreProperties>
</file>